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E0" w:rsidRDefault="00D238E0" w:rsidP="00D238E0">
      <w:pPr>
        <w:autoSpaceDE w:val="0"/>
        <w:autoSpaceDN w:val="0"/>
        <w:adjustRightInd w:val="0"/>
        <w:spacing w:after="0" w:line="240" w:lineRule="auto"/>
        <w:jc w:val="center"/>
        <w:rPr>
          <w:rFonts w:ascii="TH SarabunPSK,Bold" w:cs="TH SarabunPSK,Bold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ร้อยละของคดีที่เด็กและเยาวชนถูกดำเนินคดีโดยสถานพินิจฯทั่วประเทศ</w:t>
      </w:r>
      <w:r>
        <w:rPr>
          <w:rFonts w:ascii="TH SarabunPSK,Bold" w:cs="TH SarabunPSK,Bold"/>
          <w:b/>
          <w:bCs/>
          <w:sz w:val="32"/>
          <w:szCs w:val="32"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ปีงบประมาณ</w:t>
      </w:r>
      <w:r>
        <w:rPr>
          <w:rFonts w:ascii="TH SarabunPSK,Bold" w:cs="TH SarabunPSK,Bold"/>
          <w:b/>
          <w:bCs/>
          <w:sz w:val="32"/>
          <w:szCs w:val="32"/>
        </w:rPr>
        <w:t xml:space="preserve"> 2562</w:t>
      </w:r>
    </w:p>
    <w:p w:rsidR="00D238E0" w:rsidRDefault="00D238E0" w:rsidP="00D238E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จำแนกตามฐานความผิด</w:t>
      </w:r>
    </w:p>
    <w:p w:rsidR="00D238E0" w:rsidRDefault="00D238E0" w:rsidP="00D238E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D0D0D"/>
          <w:sz w:val="32"/>
          <w:szCs w:val="32"/>
        </w:rPr>
      </w:pPr>
    </w:p>
    <w:p w:rsidR="0014464E" w:rsidRDefault="00D238E0" w:rsidP="00D238E0">
      <w:pPr>
        <w:autoSpaceDE w:val="0"/>
        <w:autoSpaceDN w:val="0"/>
        <w:adjustRightInd w:val="0"/>
        <w:spacing w:after="0" w:line="240" w:lineRule="auto"/>
        <w:jc w:val="thaiDistribute"/>
      </w:pPr>
      <w:r>
        <w:rPr>
          <w:rFonts w:ascii="TH SarabunPSK" w:hAnsi="TH SarabunPSK" w:cs="TH SarabunPSK"/>
          <w:color w:val="0D0D0D"/>
          <w:sz w:val="32"/>
          <w:szCs w:val="32"/>
          <w:cs/>
        </w:rPr>
        <w:t>ในจ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นวนคดีเด็กและเยาวชนซึ่งถูกด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เนินคดีโดยสถานพินิจฯทั่วประเทศ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นวนทั้งหมด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20,842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เมื่อพิจารณาจ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แนกตามฐานความผิด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พบว่า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คดีส่วนใหญ่เป็นคดีที่มีฐานความผิดเกี่ยวกับยาเสพติดให้โทษมากที่สุด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คือ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มีจ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10,634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51.02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ของคดีทั้งหมด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รองลงมา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เป็นคดีที่มีฐานความผิดเกี่ยวกับทรัพย์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มีจ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2,948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14.15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นอกจากนั้น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เป็นคดีที่มีฐานความผิดอื่นๆ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เช่น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พ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ร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บ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จราจรทางบก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พ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ร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บ</w:t>
      </w:r>
      <w:r>
        <w:rPr>
          <w:rFonts w:ascii="TH SarabunPSK" w:hAnsi="TH SarabunPSK" w:cs="TH SarabunPSK"/>
          <w:color w:val="0D0D0D"/>
          <w:sz w:val="32"/>
          <w:szCs w:val="32"/>
        </w:rPr>
        <w:t>.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การพนัน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2,694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เป็นคดีที่มีฐานความผิดเกี่ยวกับชีวิตและร่างกาย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มีจ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2,175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เป็นคดีที่มีฐานความผิดเกี่ยวกับอาวุธและวัตถุระเบิด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951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เป็นคดีที่มีฐานความผิดเกี่ยวกับเพศ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922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และเป็นเป็นคดีที่มีฐานความผิดเกี่ยวกับความสงบสุข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เสรีภาพ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ชื่อเสียงและการปกครอง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นวน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517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คดี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ซึ่งคิดเป็นร้อยละ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12.93 10.44 4.56 4.42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และ</w:t>
      </w:r>
      <w:r>
        <w:rPr>
          <w:rFonts w:ascii="TH SarabunPSK" w:hAnsi="TH SarabunPSK" w:cs="TH SarabunPSK"/>
          <w:color w:val="0D0D0D"/>
          <w:sz w:val="32"/>
          <w:szCs w:val="32"/>
        </w:rPr>
        <w:t xml:space="preserve"> 2.48 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ตามล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D0D0D"/>
          <w:sz w:val="32"/>
          <w:szCs w:val="32"/>
          <w:cs/>
        </w:rPr>
        <w:t>ดับ</w:t>
      </w:r>
    </w:p>
    <w:sectPr w:rsidR="0014464E" w:rsidSect="00144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38E0"/>
    <w:rsid w:val="0014464E"/>
    <w:rsid w:val="00D23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1</cp:revision>
  <dcterms:created xsi:type="dcterms:W3CDTF">2020-05-15T08:56:00Z</dcterms:created>
  <dcterms:modified xsi:type="dcterms:W3CDTF">2020-05-15T09:01:00Z</dcterms:modified>
</cp:coreProperties>
</file>